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58" w:type="dxa"/>
        <w:tblLook w:val="04A0" w:firstRow="1" w:lastRow="0" w:firstColumn="1" w:lastColumn="0" w:noHBand="0" w:noVBand="1"/>
      </w:tblPr>
      <w:tblGrid>
        <w:gridCol w:w="758"/>
        <w:gridCol w:w="1227"/>
        <w:gridCol w:w="6804"/>
        <w:gridCol w:w="2693"/>
        <w:gridCol w:w="1276"/>
        <w:gridCol w:w="1200"/>
      </w:tblGrid>
      <w:tr w:rsidR="00D91064" w:rsidRPr="00DD6C55" w14:paraId="4BC73BC4" w14:textId="77777777" w:rsidTr="00DD6C55">
        <w:trPr>
          <w:trHeight w:val="696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14B68" w14:textId="77777777" w:rsidR="00D91064" w:rsidRPr="00DD6C55" w:rsidRDefault="00D91064" w:rsidP="00EE66AA">
            <w:pPr>
              <w:widowControl/>
              <w:spacing w:beforeLines="100" w:before="312" w:afterLines="100" w:after="31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69BE3" w14:textId="18948486" w:rsidR="00D91064" w:rsidRPr="00DD6C55" w:rsidRDefault="003032DC" w:rsidP="00EE66AA">
            <w:pPr>
              <w:widowControl/>
              <w:spacing w:beforeLines="100" w:before="312" w:afterLines="100" w:after="31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 w:rsidR="00EE57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三</w:t>
            </w:r>
            <w:r w:rsidR="00D91064"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届北京工商大学统计建模</w:t>
            </w:r>
            <w:r w:rsidR="007026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竞赛</w:t>
            </w:r>
            <w:r w:rsidR="00D91064"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获奖名单</w:t>
            </w:r>
            <w:r w:rsidR="00EE57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及省赛晋级结果</w:t>
            </w:r>
            <w:r w:rsidR="00D91064"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</w:t>
            </w:r>
            <w:r w:rsidR="00E95791"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本科</w:t>
            </w:r>
            <w:r w:rsidR="00D91064"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生组）</w:t>
            </w:r>
          </w:p>
        </w:tc>
      </w:tr>
      <w:tr w:rsidR="00D91064" w:rsidRPr="00DD6C55" w14:paraId="4413551D" w14:textId="77777777" w:rsidTr="00DD6C55">
        <w:trPr>
          <w:trHeight w:val="67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20D" w14:textId="77777777" w:rsidR="00D91064" w:rsidRPr="00DD6C55" w:rsidRDefault="00D91064" w:rsidP="00D910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8A03" w14:textId="77777777" w:rsidR="00D91064" w:rsidRPr="00DD6C55" w:rsidRDefault="00D91064" w:rsidP="00EE66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8541" w14:textId="77777777" w:rsidR="00D91064" w:rsidRPr="00DD6C55" w:rsidRDefault="00D91064" w:rsidP="00EE66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获奖作品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0B98" w14:textId="77777777" w:rsidR="00D91064" w:rsidRPr="00DD6C55" w:rsidRDefault="00D91064" w:rsidP="00EE66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F28" w14:textId="12A07247" w:rsidR="00D91064" w:rsidRPr="00DD6C55" w:rsidRDefault="006915D9" w:rsidP="00EE66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B2AC" w14:textId="4958E3C4" w:rsidR="00D91064" w:rsidRPr="00DD6C55" w:rsidRDefault="006915D9" w:rsidP="00EE66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</w:t>
            </w:r>
            <w:proofErr w:type="gramStart"/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晋级省</w:t>
            </w:r>
            <w:proofErr w:type="gramEnd"/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赛</w:t>
            </w:r>
          </w:p>
        </w:tc>
      </w:tr>
      <w:tr w:rsidR="006915D9" w:rsidRPr="00DD6C55" w14:paraId="10CBE7E3" w14:textId="77777777" w:rsidTr="00DD6C55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1134" w14:textId="77777777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BF4D" w14:textId="0AAA1EB9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一等奖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A46C" w14:textId="19EDA97C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专利网络的结构、演化及创新效应研究——基于中关村海淀科技园的大数据集样本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8698" w14:textId="4D8BC606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李建军、</w:t>
            </w: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邵</w:t>
            </w:r>
            <w:proofErr w:type="gramEnd"/>
            <w:r w:rsidRPr="00DD6C55">
              <w:rPr>
                <w:rFonts w:ascii="宋体" w:eastAsia="宋体" w:hAnsi="宋体" w:hint="eastAsia"/>
                <w:sz w:val="22"/>
              </w:rPr>
              <w:t>俍鹔、李虎林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5A5F" w14:textId="0638B511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衡佳妮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D0BD" w14:textId="4886FB55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6915D9" w:rsidRPr="00DD6C55" w14:paraId="3EFEC207" w14:textId="77777777" w:rsidTr="00DD6C55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6087" w14:textId="7691795D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FAA7" w14:textId="253A4A43" w:rsidR="006915D9" w:rsidRPr="00DD6C55" w:rsidRDefault="006915D9" w:rsidP="006915D9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二等奖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A9D1" w14:textId="7D64C185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基于高频数据的智慧旅游预测和满意</w:t>
            </w:r>
            <w:proofErr w:type="gramStart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度分析</w:t>
            </w:r>
            <w:proofErr w:type="gramEnd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-以北京故宫旅游景区为例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85E6" w14:textId="1D60FCC3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高蔡珊 黄美霖 邬子萌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3A0" w14:textId="2CCD789E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衡佳妮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F09E" w14:textId="61990C94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6915D9" w:rsidRPr="00DD6C55" w14:paraId="5E8D30D7" w14:textId="77777777" w:rsidTr="00DD6C55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FFA" w14:textId="45E9E690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DB9A" w14:textId="082D0A19" w:rsidR="006915D9" w:rsidRPr="00DD6C55" w:rsidRDefault="006915D9" w:rsidP="006915D9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二等奖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7E5D" w14:textId="47847909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从土地到云端：大数据驱动</w:t>
            </w:r>
            <w:proofErr w:type="gramStart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下数字</w:t>
            </w:r>
            <w:proofErr w:type="gramEnd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经济对河南省农业高质量发展的影响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59FA" w14:textId="40241DFE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全俐锦 李海明 陈海洋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9B65" w14:textId="449F7D4E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王康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5ECA" w14:textId="3596DF9F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6915D9" w:rsidRPr="00DD6C55" w14:paraId="49A71D36" w14:textId="77777777" w:rsidTr="00DD6C55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D6B" w14:textId="46B91742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4349" w14:textId="3E8085C0" w:rsidR="006915D9" w:rsidRPr="00DD6C55" w:rsidRDefault="006915D9" w:rsidP="006915D9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三等奖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10F4" w14:textId="780D98C5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大数据时代下交通领域的可视化统计及分析—基于非时齐泊松模型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146A" w14:textId="3CAABEBE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邵圣烨、李婷、康帅娟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140E" w14:textId="7D645E8E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王超杰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3174" w14:textId="0E8C5E22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6915D9" w:rsidRPr="00DD6C55" w14:paraId="6FC9CF55" w14:textId="77777777" w:rsidTr="00DD6C55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9B87" w14:textId="45BE276D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48E" w14:textId="30F2E29E" w:rsidR="006915D9" w:rsidRPr="00DD6C55" w:rsidRDefault="006915D9" w:rsidP="006915D9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三等奖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859B" w14:textId="3A03EB3C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基于大数据背景下系统性金融风险预测研究——以绿色金融领域系统性金融风险为例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8C68" w14:textId="43642F11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周璇、田柏炎、程耀星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70B6" w14:textId="756E89F2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衡佳妮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8C492" w14:textId="598BBC81" w:rsidR="006915D9" w:rsidRPr="00DD6C55" w:rsidRDefault="006915D9" w:rsidP="006915D9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 xml:space="preserve">否　</w:t>
            </w:r>
          </w:p>
        </w:tc>
      </w:tr>
      <w:tr w:rsidR="006915D9" w:rsidRPr="00DD6C55" w14:paraId="63FA3CAF" w14:textId="77777777" w:rsidTr="00DD6C55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A991" w14:textId="2AFB6261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D780" w14:textId="41B5EA0A" w:rsidR="006915D9" w:rsidRPr="00DD6C55" w:rsidRDefault="006915D9" w:rsidP="006915D9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三等奖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0958" w14:textId="510F004E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基于多维度指标分析的我国数字经济水平与碳排放强度关系的研究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1F27" w14:textId="478B8681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 xml:space="preserve">郑茜文 </w:t>
            </w: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张宜佳</w:t>
            </w:r>
            <w:proofErr w:type="gramEnd"/>
            <w:r w:rsidRPr="00DD6C55">
              <w:rPr>
                <w:rFonts w:ascii="宋体" w:eastAsia="宋体" w:hAnsi="宋体" w:hint="eastAsia"/>
                <w:sz w:val="22"/>
              </w:rPr>
              <w:t xml:space="preserve"> 张玉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FF1F" w14:textId="4EB3D85B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衡佳妮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72DF1" w14:textId="46207361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 xml:space="preserve">否　</w:t>
            </w:r>
          </w:p>
        </w:tc>
      </w:tr>
      <w:tr w:rsidR="006915D9" w:rsidRPr="00DD6C55" w14:paraId="2F82C487" w14:textId="77777777" w:rsidTr="00DD6C55">
        <w:trPr>
          <w:trHeight w:val="8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3F54" w14:textId="46BA297D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7779" w14:textId="6ED66DF5" w:rsidR="006915D9" w:rsidRPr="00DD6C55" w:rsidRDefault="006915D9" w:rsidP="006915D9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优秀奖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1D79" w14:textId="1D55BC8C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基于问卷调查和机器学习的消费者智能家居产品购买意向分析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6D7E" w14:textId="7D2EFF5A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兰琪儿</w:t>
            </w:r>
            <w:proofErr w:type="gramEnd"/>
            <w:r w:rsidRPr="00DD6C55">
              <w:rPr>
                <w:rFonts w:ascii="宋体" w:eastAsia="宋体" w:hAnsi="宋体" w:hint="eastAsia"/>
                <w:sz w:val="22"/>
              </w:rPr>
              <w:t xml:space="preserve"> 郝亚琳 董奕悦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6000" w14:textId="0F071E41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9C90D" w14:textId="55893946" w:rsidR="006915D9" w:rsidRPr="00DD6C55" w:rsidRDefault="006915D9" w:rsidP="006915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 xml:space="preserve">否　</w:t>
            </w:r>
          </w:p>
        </w:tc>
      </w:tr>
      <w:tr w:rsidR="001B1ECE" w:rsidRPr="00DD6C55" w14:paraId="4292FD0C" w14:textId="77777777" w:rsidTr="00DD6C55">
        <w:trPr>
          <w:trHeight w:val="1125"/>
        </w:trPr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F0A23" w14:textId="77777777" w:rsidR="001B1ECE" w:rsidRPr="00DD6C55" w:rsidRDefault="001B1ECE" w:rsidP="00161F3F">
            <w:pPr>
              <w:widowControl/>
              <w:spacing w:beforeLines="100" w:before="312" w:afterLines="100" w:after="31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9DB6" w14:textId="2F3E395A" w:rsidR="001B1ECE" w:rsidRPr="00DD6C55" w:rsidRDefault="001B1ECE" w:rsidP="00DD6C5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 w:rsidR="00EE57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三</w:t>
            </w: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届北京工商大学统计建模</w:t>
            </w:r>
            <w:r w:rsidR="007026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竞赛</w:t>
            </w: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获奖名单</w:t>
            </w:r>
            <w:r w:rsidR="00EE57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及省赛晋级结果</w:t>
            </w: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（研究生组）</w:t>
            </w:r>
          </w:p>
        </w:tc>
      </w:tr>
      <w:tr w:rsidR="001B1ECE" w:rsidRPr="00DD6C55" w14:paraId="1F444F91" w14:textId="77777777" w:rsidTr="00DD6C55">
        <w:trPr>
          <w:trHeight w:val="2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9C77" w14:textId="77777777" w:rsidR="001B1ECE" w:rsidRPr="00DD6C55" w:rsidRDefault="001B1ECE" w:rsidP="00DD6C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324F" w14:textId="77777777" w:rsidR="001B1ECE" w:rsidRPr="00DD6C55" w:rsidRDefault="001B1ECE" w:rsidP="00DD6C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D990" w14:textId="77777777" w:rsidR="001B1ECE" w:rsidRPr="00DD6C55" w:rsidRDefault="001B1ECE" w:rsidP="00DD6C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获奖作品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537D" w14:textId="77777777" w:rsidR="001B1ECE" w:rsidRPr="00DD6C55" w:rsidRDefault="001B1ECE" w:rsidP="00DD6C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A4A5" w14:textId="29977024" w:rsidR="001B1ECE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DAA" w14:textId="280F27E9" w:rsidR="001B1ECE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</w:t>
            </w:r>
            <w:proofErr w:type="gramStart"/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晋级省</w:t>
            </w:r>
            <w:proofErr w:type="gramEnd"/>
            <w:r w:rsidRPr="00DD6C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赛</w:t>
            </w:r>
          </w:p>
        </w:tc>
      </w:tr>
      <w:tr w:rsidR="00DD6C55" w:rsidRPr="00DD6C55" w14:paraId="33C7DEE2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38FC" w14:textId="70678E93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D4B9" w14:textId="63F69D8E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一等奖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6107" w14:textId="07073046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基于复杂网络的企业颠覆式创新能力测度和驱动机制研究-以中关村海淀科技园为例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F648" w14:textId="39D39F2F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高誉源</w:t>
            </w:r>
            <w:proofErr w:type="gramEnd"/>
            <w:r w:rsidRPr="00DD6C55">
              <w:rPr>
                <w:rFonts w:ascii="宋体" w:eastAsia="宋体" w:hAnsi="宋体" w:hint="eastAsia"/>
                <w:sz w:val="22"/>
              </w:rPr>
              <w:t xml:space="preserve"> 陈</w:t>
            </w: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梦益 李溶洋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DD22" w14:textId="068E98EE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王康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24F1" w14:textId="278DA78C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DD6C55" w:rsidRPr="00DD6C55" w14:paraId="607DC7BF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59D3" w14:textId="4DDBB9C9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9F56" w14:textId="3464AA9E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二等奖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7C1D" w14:textId="14F248F1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长江经济</w:t>
            </w:r>
            <w:proofErr w:type="gramStart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带自由</w:t>
            </w:r>
            <w:proofErr w:type="gramEnd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贸易试验区政策对企业全要素生产率的影响研究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1E29" w14:textId="2DE509BD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曹易人 朱宵彤 张天祎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B228" w14:textId="46B35660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辛士波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8944" w14:textId="69057BFC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DD6C55" w:rsidRPr="00DD6C55" w14:paraId="216FD8CF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E69E" w14:textId="38D8D7EF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1B62" w14:textId="4AF109B3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二等奖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4C3A" w14:textId="1C0DECA0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中国行业层面数字劳动投入核算——基于新质生产力要素投入视角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2DCE" w14:textId="5D3B6C5F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 xml:space="preserve">邢森玉 </w:t>
            </w: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杨胜卫</w:t>
            </w:r>
            <w:proofErr w:type="gramEnd"/>
            <w:r w:rsidRPr="00DD6C55">
              <w:rPr>
                <w:rFonts w:ascii="宋体" w:eastAsia="宋体" w:hAnsi="宋体" w:hint="eastAsia"/>
                <w:sz w:val="22"/>
              </w:rPr>
              <w:t xml:space="preserve"> </w:t>
            </w: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高欣雨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FE6C" w14:textId="4BB965D5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王春云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2CC1" w14:textId="228476BF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DD6C55" w:rsidRPr="00DD6C55" w14:paraId="13EEB840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37DE" w14:textId="55655AE7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221A" w14:textId="0AD19C15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三等奖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3337" w14:textId="265D7C1D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科技园区设立与大中小</w:t>
            </w:r>
            <w:proofErr w:type="gramStart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微企业</w:t>
            </w:r>
            <w:proofErr w:type="gramEnd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协同创新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6A85" w14:textId="6B6F3DFF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黄河波、李雪强、谢金娜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4A3A" w14:textId="25AA5B32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王康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9214" w14:textId="137954E0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DD6C55" w:rsidRPr="00DD6C55" w14:paraId="224F99D9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1E75" w14:textId="105F2363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499D" w14:textId="6161101E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三等奖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0770" w14:textId="63B4358C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创新合作网络影响企业创新的统计研究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5A2E" w14:textId="13773638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张语航</w:t>
            </w:r>
            <w:proofErr w:type="gramEnd"/>
            <w:r w:rsidRPr="00DD6C55">
              <w:rPr>
                <w:rFonts w:ascii="宋体" w:eastAsia="宋体" w:hAnsi="宋体" w:hint="eastAsia"/>
                <w:sz w:val="22"/>
              </w:rPr>
              <w:t xml:space="preserve"> 李雙 高焱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98B7" w14:textId="5F67CD92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王康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5DA7" w14:textId="2C4641F7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DD6C55" w:rsidRPr="00DD6C55" w14:paraId="0AFC0625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ECED" w14:textId="42901799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2ACC" w14:textId="02D528FC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三等奖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A0C2" w14:textId="4691ED1D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基于Ridge回归模型的半导体智能制造产品质量预测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2BB5" w14:textId="674259C3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 xml:space="preserve">刘黎明 </w:t>
            </w: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徐忠涛</w:t>
            </w:r>
            <w:proofErr w:type="gramEnd"/>
            <w:r w:rsidRPr="00DD6C55">
              <w:rPr>
                <w:rFonts w:ascii="宋体" w:eastAsia="宋体" w:hAnsi="宋体" w:hint="eastAsia"/>
                <w:sz w:val="22"/>
              </w:rPr>
              <w:t xml:space="preserve"> 王可</w:t>
            </w: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BAE9" w14:textId="777A71B7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毛典辉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55A8" w14:textId="2F697E8E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DD6C55" w:rsidRPr="00DD6C55" w14:paraId="0C1597D0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7384" w14:textId="12C6664A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39A9" w14:textId="22ED2D2C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优秀奖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F6C5" w14:textId="7FEAB158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基于数据挖掘的城市就业岗位信息分析与预测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917F" w14:textId="69A27E4B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马</w:t>
            </w: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一</w:t>
            </w:r>
            <w:proofErr w:type="gramEnd"/>
            <w:r w:rsidRPr="00DD6C55">
              <w:rPr>
                <w:rFonts w:ascii="宋体" w:eastAsia="宋体" w:hAnsi="宋体" w:hint="eastAsia"/>
                <w:sz w:val="22"/>
              </w:rPr>
              <w:t>洋 马轶男 曹旭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9C3E" w14:textId="19D3F0DE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徐玲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A79B" w14:textId="72CC4485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DD6C55" w:rsidRPr="00DD6C55" w14:paraId="063EFE8B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FD6" w14:textId="4E58B5DE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10AE" w14:textId="03DE72A4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优秀奖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B82F" w14:textId="07E0A0F3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数字技术创新对企业ESG的影响及其传导机制的研究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95CD" w14:textId="4F8B3390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赵美茹 刘雨 张燕妮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B231" w14:textId="2A45F860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尹玉良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C323" w14:textId="59564547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DD6C55" w:rsidRPr="00DD6C55" w14:paraId="7245BEAC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D265" w14:textId="5DF22339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337F" w14:textId="4207F615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优秀奖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81ED" w14:textId="46785168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数字普惠金融对乡村振兴的影响研究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456D" w14:textId="10D7CB17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崔江帆 周桢婷 郝亚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48C1" w14:textId="764DDBEE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EC01" w14:textId="56765E4C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DD6C55" w:rsidRPr="00DD6C55" w14:paraId="28C90E69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44B" w14:textId="420CE308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5C2C" w14:textId="76AE8929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优秀奖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BF42" w14:textId="20D0D019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网络舆情视角下投资者情绪对A股上市银行股票收益率的影响研究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EE17" w14:textId="05CC1FA2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章润</w:t>
            </w:r>
            <w:proofErr w:type="gramEnd"/>
            <w:r w:rsidRPr="00DD6C55">
              <w:rPr>
                <w:rFonts w:ascii="宋体" w:eastAsia="宋体" w:hAnsi="宋体" w:hint="eastAsia"/>
                <w:sz w:val="22"/>
              </w:rPr>
              <w:t xml:space="preserve"> 闫鑫 王兆宁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BB27" w14:textId="02E64772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辛士波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95FF" w14:textId="574F9FBA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是</w:t>
            </w:r>
          </w:p>
        </w:tc>
      </w:tr>
      <w:tr w:rsidR="00DD6C55" w:rsidRPr="00DD6C55" w14:paraId="570DC266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A384" w14:textId="4302F993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2D6" w14:textId="7E10709D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优秀奖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E417" w14:textId="57BD3763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基于KD-Tree聚类的数字文化产品间流量的转换方法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109D" w14:textId="1102B0A7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王文斌 任路平 王冰洁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0ABD" w14:textId="2F3FA86C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郝娜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B4E1" w14:textId="382D0217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否</w:t>
            </w:r>
          </w:p>
        </w:tc>
      </w:tr>
      <w:tr w:rsidR="00DD6C55" w:rsidRPr="00DD6C55" w14:paraId="080E83F1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B8C4" w14:textId="3A131D0B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1EC1" w14:textId="2BFC41A9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优秀奖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ACFF" w14:textId="076FC06C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互联网银行</w:t>
            </w:r>
            <w:proofErr w:type="gramStart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系货币</w:t>
            </w:r>
            <w:proofErr w:type="gramEnd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基金的流动性风险测算与成因分析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BF80" w14:textId="6535A269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 xml:space="preserve">王婷婷 陈斯诺 </w:t>
            </w: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谢纬达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47DED" w14:textId="55A4724E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辛士波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9A48" w14:textId="20C20436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否</w:t>
            </w:r>
          </w:p>
        </w:tc>
      </w:tr>
      <w:tr w:rsidR="00DD6C55" w:rsidRPr="00DD6C55" w14:paraId="6E9B5E49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687A" w14:textId="6AFB7659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E571" w14:textId="7CD201CE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优秀奖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E0B6" w14:textId="1F9C33E0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随大流还是独善其身？组织正</w:t>
            </w:r>
            <w:proofErr w:type="gramStart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念如何</w:t>
            </w:r>
            <w:proofErr w:type="gramEnd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从战略和监管合法性的角度促进利益相关者的绿色价值共创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9CF4" w14:textId="467ECB8D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李珍艳</w:t>
            </w:r>
            <w:proofErr w:type="gramEnd"/>
            <w:r w:rsidRPr="00DD6C55">
              <w:rPr>
                <w:rFonts w:ascii="宋体" w:eastAsia="宋体" w:hAnsi="宋体" w:hint="eastAsia"/>
                <w:sz w:val="22"/>
              </w:rPr>
              <w:t xml:space="preserve"> 张心宇 曹华梅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30A2" w14:textId="7F1A456B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刘贝妮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7139" w14:textId="6C6EE579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否</w:t>
            </w:r>
          </w:p>
        </w:tc>
      </w:tr>
      <w:tr w:rsidR="00DD6C55" w:rsidRPr="00DD6C55" w14:paraId="04645BA3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1AC4" w14:textId="0A04948A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C1F9" w14:textId="6F9A1432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优秀奖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2F18" w14:textId="0505BA47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CEO金融机构任职经历与企业金融化的实证研究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8A0D" w14:textId="47C7EFDD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刘洁、李冰玉、李冠凤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08DC" w14:textId="5C49C25B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张继德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CE97" w14:textId="14B20B6E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否</w:t>
            </w:r>
          </w:p>
        </w:tc>
      </w:tr>
      <w:tr w:rsidR="00DD6C55" w:rsidRPr="00DD6C55" w14:paraId="6B7C67DE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B900" w14:textId="6CC330C5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2551" w14:textId="33CE8B81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优秀奖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78FA" w14:textId="15CA95A7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基于</w:t>
            </w:r>
            <w:proofErr w:type="spellStart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shapley</w:t>
            </w:r>
            <w:proofErr w:type="spellEnd"/>
            <w:proofErr w:type="gramStart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值分解法</w:t>
            </w:r>
            <w:proofErr w:type="gramEnd"/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的河南省粮食产量影响因素分析及BP神经网络的粮食产量预测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05E1" w14:textId="17DBED94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张旋 朱小凡 候玉</w:t>
            </w: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7AB3" w14:textId="6B360C4C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王超杰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2FCC" w14:textId="1382AF08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否</w:t>
            </w:r>
          </w:p>
        </w:tc>
      </w:tr>
      <w:tr w:rsidR="00DD6C55" w:rsidRPr="00DD6C55" w14:paraId="1BBBFD32" w14:textId="77777777" w:rsidTr="00DD6C55">
        <w:trPr>
          <w:trHeight w:val="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6DFC" w14:textId="1732F014" w:rsidR="00DD6C55" w:rsidRPr="00DD6C55" w:rsidRDefault="00DD6C55" w:rsidP="00DD6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6C55">
              <w:rPr>
                <w:rFonts w:ascii="宋体" w:eastAsia="宋体" w:hAnsi="宋体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2C59" w14:textId="5DAFEF8C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优秀奖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16F7" w14:textId="4185B722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color w:val="000000"/>
                <w:sz w:val="22"/>
              </w:rPr>
              <w:t>基于logistic回归和决策树模型的心力衰竭预测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EA41" w14:textId="41CF750F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王</w:t>
            </w:r>
            <w:proofErr w:type="gramStart"/>
            <w:r w:rsidRPr="00DD6C55">
              <w:rPr>
                <w:rFonts w:ascii="宋体" w:eastAsia="宋体" w:hAnsi="宋体" w:hint="eastAsia"/>
                <w:sz w:val="22"/>
              </w:rPr>
              <w:t>濛</w:t>
            </w:r>
            <w:proofErr w:type="gramEnd"/>
            <w:r w:rsidRPr="00DD6C55">
              <w:rPr>
                <w:rFonts w:ascii="宋体" w:eastAsia="宋体" w:hAnsi="宋体" w:hint="eastAsia"/>
                <w:sz w:val="22"/>
              </w:rPr>
              <w:t xml:space="preserve"> 吴玉杰 张麒麟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A85D" w14:textId="4ECA94E5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CF14" w14:textId="4CBEE3DE" w:rsidR="00DD6C55" w:rsidRPr="00DD6C55" w:rsidRDefault="00DD6C55" w:rsidP="00DD6C55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DD6C55">
              <w:rPr>
                <w:rFonts w:ascii="宋体" w:eastAsia="宋体" w:hAnsi="宋体" w:hint="eastAsia"/>
                <w:sz w:val="22"/>
              </w:rPr>
              <w:t>否</w:t>
            </w:r>
          </w:p>
        </w:tc>
      </w:tr>
    </w:tbl>
    <w:p w14:paraId="7869F833" w14:textId="77777777" w:rsidR="00B126DF" w:rsidRPr="00DD6C55" w:rsidRDefault="00B126DF" w:rsidP="00EB301F">
      <w:pPr>
        <w:rPr>
          <w:rFonts w:ascii="宋体" w:eastAsia="宋体" w:hAnsi="宋体"/>
        </w:rPr>
      </w:pPr>
    </w:p>
    <w:sectPr w:rsidR="00B126DF" w:rsidRPr="00DD6C55" w:rsidSect="00EE66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B2C31" w14:textId="77777777" w:rsidR="00607E74" w:rsidRDefault="00607E74" w:rsidP="003032DC">
      <w:r>
        <w:separator/>
      </w:r>
    </w:p>
  </w:endnote>
  <w:endnote w:type="continuationSeparator" w:id="0">
    <w:p w14:paraId="28457EEA" w14:textId="77777777" w:rsidR="00607E74" w:rsidRDefault="00607E74" w:rsidP="0030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FB8AB" w14:textId="77777777" w:rsidR="00607E74" w:rsidRDefault="00607E74" w:rsidP="003032DC">
      <w:r>
        <w:separator/>
      </w:r>
    </w:p>
  </w:footnote>
  <w:footnote w:type="continuationSeparator" w:id="0">
    <w:p w14:paraId="40A054F1" w14:textId="77777777" w:rsidR="00607E74" w:rsidRDefault="00607E74" w:rsidP="0030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AA"/>
    <w:rsid w:val="000155B6"/>
    <w:rsid w:val="001A78B0"/>
    <w:rsid w:val="001B1ECE"/>
    <w:rsid w:val="001C30D2"/>
    <w:rsid w:val="001D5A2C"/>
    <w:rsid w:val="002211D4"/>
    <w:rsid w:val="003032DC"/>
    <w:rsid w:val="003D4D17"/>
    <w:rsid w:val="004122EF"/>
    <w:rsid w:val="00476909"/>
    <w:rsid w:val="00485BDB"/>
    <w:rsid w:val="004B042B"/>
    <w:rsid w:val="004B4457"/>
    <w:rsid w:val="005C3ECB"/>
    <w:rsid w:val="005D6AD8"/>
    <w:rsid w:val="005E2F92"/>
    <w:rsid w:val="00607E74"/>
    <w:rsid w:val="006915D9"/>
    <w:rsid w:val="006C6648"/>
    <w:rsid w:val="00702663"/>
    <w:rsid w:val="007256A2"/>
    <w:rsid w:val="00783A01"/>
    <w:rsid w:val="008526D4"/>
    <w:rsid w:val="008C410F"/>
    <w:rsid w:val="008D6B87"/>
    <w:rsid w:val="009C33A6"/>
    <w:rsid w:val="00AA252D"/>
    <w:rsid w:val="00AE62B1"/>
    <w:rsid w:val="00B126DF"/>
    <w:rsid w:val="00B54CF4"/>
    <w:rsid w:val="00B85B6F"/>
    <w:rsid w:val="00CC7F76"/>
    <w:rsid w:val="00CF13AC"/>
    <w:rsid w:val="00D332D4"/>
    <w:rsid w:val="00D359A0"/>
    <w:rsid w:val="00D36277"/>
    <w:rsid w:val="00D91064"/>
    <w:rsid w:val="00D911C7"/>
    <w:rsid w:val="00DD6C55"/>
    <w:rsid w:val="00E03D42"/>
    <w:rsid w:val="00E71A98"/>
    <w:rsid w:val="00E95791"/>
    <w:rsid w:val="00EB301F"/>
    <w:rsid w:val="00EE574C"/>
    <w:rsid w:val="00EE66AA"/>
    <w:rsid w:val="00F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FC678"/>
  <w15:chartTrackingRefBased/>
  <w15:docId w15:val="{4ABF17DD-10A7-4A92-A590-955301C4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D6B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D6B8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30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2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2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徐玲</cp:lastModifiedBy>
  <cp:revision>5</cp:revision>
  <cp:lastPrinted>2021-06-04T12:30:00Z</cp:lastPrinted>
  <dcterms:created xsi:type="dcterms:W3CDTF">2024-05-31T09:25:00Z</dcterms:created>
  <dcterms:modified xsi:type="dcterms:W3CDTF">2024-05-31T09:40:00Z</dcterms:modified>
</cp:coreProperties>
</file>